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BA" w:rsidRDefault="001833BA" w:rsidP="001833BA">
      <w:pPr>
        <w:pStyle w:val="Ttulo1"/>
      </w:pPr>
      <w:r>
        <w:t>Banco de indicadores para un sistema de GIRS</w:t>
      </w:r>
      <w:r>
        <w:rPr>
          <w:rStyle w:val="Refdenotaalpie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6"/>
        <w:gridCol w:w="710"/>
        <w:gridCol w:w="867"/>
        <w:gridCol w:w="878"/>
      </w:tblGrid>
      <w:tr w:rsidR="001833BA" w:rsidRPr="00AC527D" w:rsidTr="00F9736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BA" w:rsidRPr="005F530E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</w:pPr>
            <w:r w:rsidRPr="005F530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R"/>
              </w:rPr>
              <w:t>Gestión de residuos sólidos en general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Indicadores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Unidades 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Bueno  </w:t>
            </w:r>
          </w:p>
        </w:tc>
        <w:tc>
          <w:tcPr>
            <w:tcW w:w="491" w:type="pct"/>
            <w:shd w:val="clear" w:color="auto" w:fill="FFFF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Regular  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Deficiente  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Tasa de generación de hogares </w:t>
            </w:r>
          </w:p>
        </w:tc>
        <w:tc>
          <w:tcPr>
            <w:tcW w:w="802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kg/cápita/año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&lt;200</w:t>
            </w:r>
          </w:p>
        </w:tc>
        <w:tc>
          <w:tcPr>
            <w:tcW w:w="491" w:type="pct"/>
            <w:shd w:val="clear" w:color="auto" w:fill="FFFF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&gt;500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&gt;500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Tasa de generación de comercios y servicios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kg/cápita/año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&lt;0,5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0,5 -1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Tasa de generación de servicios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kg/cápita/año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&lt;0,5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0,5 -1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Tasa de residuos industriales atendidos por el servicio de recolección municipal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kg/cápita/año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&lt;100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100 -500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&gt;500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Tasa de crecimiento en la  generación de residuos municipales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0 -1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Residuos recolectados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&gt;90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90 -70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&lt;70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Residuos sin tratamiento previo eliminados en relleno sanitario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&lt;20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20 -40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&gt;40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Residuos eliminados en relleno sanitario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&gt;90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90 -80</w:t>
            </w:r>
          </w:p>
        </w:tc>
        <w:tc>
          <w:tcPr>
            <w:tcW w:w="497" w:type="pct"/>
            <w:shd w:val="clear" w:color="auto" w:fill="FF0000"/>
            <w:noWrap/>
            <w:vAlign w:val="bottom"/>
            <w:hideMark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&lt;80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Cobertura de limpieza de vías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&gt;85  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&gt;60</w:t>
            </w: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497" w:type="pct"/>
            <w:shd w:val="clear" w:color="auto" w:fill="FF00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&lt;60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Cobertura población atendida por el servicio de recolección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&gt;90  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7</w:t>
            </w: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0  </w:t>
            </w:r>
          </w:p>
        </w:tc>
        <w:tc>
          <w:tcPr>
            <w:tcW w:w="497" w:type="pct"/>
            <w:shd w:val="clear" w:color="auto" w:fill="FF00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</w:t>
            </w: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70  </w:t>
            </w: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Distancia media de cobertura respecto al punto de recolección  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Metros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&lt;150  </w:t>
            </w:r>
          </w:p>
        </w:tc>
        <w:tc>
          <w:tcPr>
            <w:tcW w:w="497" w:type="pct"/>
            <w:shd w:val="clear" w:color="auto" w:fill="FF00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  <w:tr w:rsidR="001833BA" w:rsidRPr="00AC527D" w:rsidTr="00F97363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Intensidad de desplazamiento  recolección</w:t>
            </w:r>
          </w:p>
        </w:tc>
        <w:tc>
          <w:tcPr>
            <w:tcW w:w="802" w:type="pct"/>
            <w:shd w:val="clear" w:color="auto" w:fill="auto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km/ton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&lt;15</w:t>
            </w:r>
          </w:p>
        </w:tc>
        <w:tc>
          <w:tcPr>
            <w:tcW w:w="491" w:type="pct"/>
            <w:shd w:val="clear" w:color="auto" w:fill="FFFF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</w:t>
            </w: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30</w:t>
            </w:r>
          </w:p>
        </w:tc>
        <w:tc>
          <w:tcPr>
            <w:tcW w:w="497" w:type="pct"/>
            <w:shd w:val="clear" w:color="auto" w:fill="FF0000"/>
            <w:noWrap/>
            <w:vAlign w:val="bottom"/>
          </w:tcPr>
          <w:p w:rsidR="001833BA" w:rsidRPr="00AC527D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AC5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&gt;30</w:t>
            </w:r>
          </w:p>
        </w:tc>
      </w:tr>
    </w:tbl>
    <w:p w:rsidR="001833BA" w:rsidRDefault="001833BA" w:rsidP="001833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1781"/>
        <w:gridCol w:w="1248"/>
        <w:gridCol w:w="503"/>
        <w:gridCol w:w="652"/>
        <w:gridCol w:w="671"/>
      </w:tblGrid>
      <w:tr w:rsidR="001833BA" w:rsidRPr="00513947" w:rsidTr="00F97363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  <w:t xml:space="preserve">  Gestión de residuos valorizables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Indicadores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Bueno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Regular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Deficiente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 w:val="restar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Grado de separación en origen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Envases: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&gt;15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15 -5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Fracción orgánica: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&gt;15 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15 -5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Papel y cartón: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&gt;15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15 -5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Vidrio: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&gt;30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30 -20  </w:t>
            </w:r>
          </w:p>
        </w:tc>
        <w:tc>
          <w:tcPr>
            <w:tcW w:w="380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&lt;20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 w:val="restar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Grado de pureza de materiales separados  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Envases: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&gt;70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70 -50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Fracción orgánica: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&gt;70 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70 -50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Papel y cartón: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&gt;70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80 -60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&lt;60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Vidrio: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&gt;80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70 -50  </w:t>
            </w:r>
          </w:p>
        </w:tc>
        <w:tc>
          <w:tcPr>
            <w:tcW w:w="380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Residuos mezclados: 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&gt;35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35 -15  </w:t>
            </w:r>
          </w:p>
        </w:tc>
        <w:tc>
          <w:tcPr>
            <w:tcW w:w="380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&lt;15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Residuos valorizados y/o tratados 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&gt;45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45 -10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&lt;10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Tasa de recuperación de materiales en valorización 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&gt;90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90 -70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&lt;70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 w:val="restar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lastRenderedPageBreak/>
              <w:t xml:space="preserve"> 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Contenido de impropios en valorización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1009" w:type="pct"/>
            <w:vMerge w:val="restar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PET: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&lt;4,5  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&gt;4,5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PEAD: .10  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&lt;10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&gt;10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Film: .18  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&lt;18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&gt;18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Plástico mezcla: 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&lt;20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&gt;20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Cartón para bebidas/alimentos</w:t>
            </w:r>
            <w:r w:rsidRPr="00513947">
              <w:rPr>
                <w:rStyle w:val="Refdenotaalpie"/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footnoteReference w:id="2"/>
            </w: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&gt;5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Metálicos de acero y aluminio: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&lt;3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80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&gt;3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Vidrio: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&lt;2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80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&gt;2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Papel y cartón</w:t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&lt;3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380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&gt;3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09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proofErr w:type="spellStart"/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Bioestabilizado</w:t>
            </w:r>
            <w:proofErr w:type="spellEnd"/>
            <w:r w:rsidRPr="00513947">
              <w:rPr>
                <w:rStyle w:val="Refdenotaalpie"/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footnoteReference w:id="3"/>
            </w: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&lt;3</w:t>
            </w:r>
          </w:p>
        </w:tc>
        <w:tc>
          <w:tcPr>
            <w:tcW w:w="369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&gt;3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Residuos no peligrosos generados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(después de valorización o incineración) 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Kg/tonelada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&lt;200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200 -300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&gt;300  </w:t>
            </w:r>
          </w:p>
        </w:tc>
      </w:tr>
      <w:tr w:rsidR="001833BA" w:rsidRPr="00513947" w:rsidTr="00F97363">
        <w:trPr>
          <w:trHeight w:val="300"/>
        </w:trPr>
        <w:tc>
          <w:tcPr>
            <w:tcW w:w="2250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Residuos peligrosos generados 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(después de valorización o incineración)  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Kg/tonelada</w:t>
            </w:r>
          </w:p>
        </w:tc>
        <w:tc>
          <w:tcPr>
            <w:tcW w:w="707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285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&lt;50  </w:t>
            </w:r>
          </w:p>
        </w:tc>
        <w:tc>
          <w:tcPr>
            <w:tcW w:w="369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50 -100  </w:t>
            </w:r>
          </w:p>
        </w:tc>
        <w:tc>
          <w:tcPr>
            <w:tcW w:w="380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&gt;100  </w:t>
            </w:r>
          </w:p>
        </w:tc>
      </w:tr>
    </w:tbl>
    <w:p w:rsidR="001833BA" w:rsidRDefault="001833BA" w:rsidP="001833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420"/>
        <w:gridCol w:w="1275"/>
        <w:gridCol w:w="710"/>
        <w:gridCol w:w="851"/>
        <w:gridCol w:w="1036"/>
      </w:tblGrid>
      <w:tr w:rsidR="001833BA" w:rsidRPr="00513947" w:rsidTr="00F97363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  <w:t xml:space="preserve">  </w:t>
            </w:r>
          </w:p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  <w:t xml:space="preserve"> Instalaciones y equipamiento  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Indicadores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Bueno</w:t>
            </w:r>
          </w:p>
        </w:tc>
        <w:tc>
          <w:tcPr>
            <w:tcW w:w="482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Regular</w:t>
            </w:r>
          </w:p>
        </w:tc>
        <w:tc>
          <w:tcPr>
            <w:tcW w:w="587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Deficiente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vMerge w:val="restar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Rendimiento del trabajo</w:t>
            </w:r>
          </w:p>
        </w:tc>
        <w:tc>
          <w:tcPr>
            <w:tcW w:w="804" w:type="pct"/>
            <w:vMerge w:val="restar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ton/hora</w:t>
            </w: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Recolección: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&gt;0,5</w:t>
            </w:r>
          </w:p>
        </w:tc>
        <w:tc>
          <w:tcPr>
            <w:tcW w:w="482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0,5-0,2</w:t>
            </w:r>
          </w:p>
        </w:tc>
        <w:tc>
          <w:tcPr>
            <w:tcW w:w="587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&lt;0,2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804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Estaciones de transferencia: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&gt;50</w:t>
            </w:r>
          </w:p>
        </w:tc>
        <w:tc>
          <w:tcPr>
            <w:tcW w:w="482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50 -25  </w:t>
            </w:r>
          </w:p>
        </w:tc>
        <w:tc>
          <w:tcPr>
            <w:tcW w:w="587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&lt;25 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804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Valorización: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&gt;15</w:t>
            </w:r>
          </w:p>
        </w:tc>
        <w:tc>
          <w:tcPr>
            <w:tcW w:w="482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15 -2  </w:t>
            </w:r>
          </w:p>
        </w:tc>
        <w:tc>
          <w:tcPr>
            <w:tcW w:w="587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&lt;2 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804" w:type="pct"/>
            <w:vMerge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Relleno sanitario o vertederos: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&gt;10</w:t>
            </w:r>
          </w:p>
        </w:tc>
        <w:tc>
          <w:tcPr>
            <w:tcW w:w="482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10 -5</w:t>
            </w:r>
          </w:p>
        </w:tc>
        <w:tc>
          <w:tcPr>
            <w:tcW w:w="587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 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Grado de aprovechamiento de las instalaciones de transferencia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&gt;80  </w:t>
            </w:r>
          </w:p>
        </w:tc>
        <w:tc>
          <w:tcPr>
            <w:tcW w:w="482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80 -50  </w:t>
            </w:r>
          </w:p>
        </w:tc>
        <w:tc>
          <w:tcPr>
            <w:tcW w:w="587" w:type="pct"/>
            <w:shd w:val="clear" w:color="auto" w:fill="FF00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&lt;50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Frecuencia de lavado de vehículos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Lavado/año</w:t>
            </w: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Vehículos:</w:t>
            </w: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&gt;50</w:t>
            </w:r>
          </w:p>
        </w:tc>
        <w:tc>
          <w:tcPr>
            <w:tcW w:w="482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50-25</w:t>
            </w:r>
          </w:p>
        </w:tc>
        <w:tc>
          <w:tcPr>
            <w:tcW w:w="587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&lt;25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CR"/>
              </w:rPr>
              <w:t xml:space="preserve"> Sistema de monitoreo continuo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CR"/>
              </w:rPr>
              <w:t>Sí/Parciamente/No</w:t>
            </w: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es-CR"/>
              </w:rPr>
              <w:t>Sí</w:t>
            </w:r>
          </w:p>
        </w:tc>
        <w:tc>
          <w:tcPr>
            <w:tcW w:w="482" w:type="pct"/>
            <w:shd w:val="clear" w:color="auto" w:fill="FFFF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Parcialmente  </w:t>
            </w:r>
          </w:p>
        </w:tc>
        <w:tc>
          <w:tcPr>
            <w:tcW w:w="587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513947" w:rsidTr="00F97363">
        <w:trPr>
          <w:trHeight w:val="300"/>
        </w:trPr>
        <w:tc>
          <w:tcPr>
            <w:tcW w:w="2003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Vida útil disponible del vertido 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Años</w:t>
            </w:r>
          </w:p>
        </w:tc>
        <w:tc>
          <w:tcPr>
            <w:tcW w:w="722" w:type="pct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402" w:type="pct"/>
            <w:shd w:val="clear" w:color="auto" w:fill="A8D08D" w:themeFill="accent6" w:themeFillTint="99"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482" w:type="pct"/>
            <w:shd w:val="clear" w:color="auto" w:fill="FFFF00"/>
            <w:noWrap/>
            <w:vAlign w:val="bottom"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8 -5  </w:t>
            </w:r>
          </w:p>
        </w:tc>
        <w:tc>
          <w:tcPr>
            <w:tcW w:w="587" w:type="pct"/>
            <w:shd w:val="clear" w:color="auto" w:fill="FF0000"/>
            <w:noWrap/>
            <w:vAlign w:val="bottom"/>
            <w:hideMark/>
          </w:tcPr>
          <w:p w:rsidR="001833BA" w:rsidRPr="00513947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5139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  </w:t>
            </w:r>
          </w:p>
        </w:tc>
      </w:tr>
    </w:tbl>
    <w:p w:rsidR="008D6DEB" w:rsidRDefault="008D6DEB" w:rsidP="001833BA"/>
    <w:p w:rsidR="008D6DEB" w:rsidRDefault="008D6DEB" w:rsidP="008D6DEB">
      <w:r>
        <w:br w:type="page"/>
      </w:r>
    </w:p>
    <w:p w:rsidR="001833BA" w:rsidRDefault="001833BA" w:rsidP="001833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2022"/>
        <w:gridCol w:w="962"/>
        <w:gridCol w:w="1059"/>
        <w:gridCol w:w="1128"/>
      </w:tblGrid>
      <w:tr w:rsidR="001833BA" w:rsidRPr="0078581F" w:rsidTr="00F97363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  <w:t xml:space="preserve">Legislación, políticas y acciones con actores sociales  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Indicadores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Unidades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Bueno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Regular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Deficiente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Existencia de legislación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Sí/Parciamente/No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Sí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Cumplimiento de la legislación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Sí/Parciamente/No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Sí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Registro de sanciones/avisos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Sí/Parciamente/No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Sí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Número de sanciones por cada 10,000 habitantes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No de sanciones registradas al ano/ 10,000 habitantes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</w:t>
            </w:r>
          </w:p>
        </w:tc>
        <w:tc>
          <w:tcPr>
            <w:tcW w:w="600" w:type="pct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5 -15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&gt;15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Presencia de prevención de residuos o separación en la fuente en el marco legal o políticas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600" w:type="pct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Incentivos económicos para la prevención de residuos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600" w:type="pct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Planeamiento para la gestión de residuos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Planes y políticas para flujos de residuos específicos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Cumplimiento de planes o políticas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/Parciamente/No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Sí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Diagnóstico de la gestión de residuos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/Parciamente/No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Sí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Sistema de quejas y sugerencias 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/Parciamente/No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CE3EFC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8D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Que</w:t>
            </w:r>
            <w:r w:rsidR="008D6D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jas por cada 10 000 habitantes 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CE3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N° quejas/10 000 habitantes/a</w:t>
            </w:r>
            <w:r w:rsidR="00CE3E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ñ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&lt;10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10 -50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&gt;50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8D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Tiempo medio de respuesta a quejas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Días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5 -15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&gt;15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8D6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Disponibilidad p</w:t>
            </w:r>
            <w:r w:rsidR="008D6D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ú</w:t>
            </w:r>
            <w:bookmarkStart w:id="0" w:name="_GoBack"/>
            <w:bookmarkEnd w:id="0"/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blica de información 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/Parcialmente/No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Si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Grado de satisfacción de los usuarios 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Satisfechos/No satisfechos/No se realiza encuesta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Satisfechos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satisfechos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se realiza encuesta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Estrategias de capacitación y formación 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/Parcialmente/No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Si  </w:t>
            </w:r>
          </w:p>
        </w:tc>
        <w:tc>
          <w:tcPr>
            <w:tcW w:w="600" w:type="pct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Población para la cual están implementadas acciones de educación ambiental y concienciación  </w:t>
            </w:r>
          </w:p>
        </w:tc>
        <w:tc>
          <w:tcPr>
            <w:tcW w:w="1145" w:type="pct"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%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&gt;5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5 -0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Procedimientos para comunicación, consulta y participación 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Si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2071" w:type="pc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Inclusión del sector informal  </w:t>
            </w:r>
          </w:p>
        </w:tc>
        <w:tc>
          <w:tcPr>
            <w:tcW w:w="1145" w:type="pct"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/Parcialmente/No  </w:t>
            </w:r>
          </w:p>
        </w:tc>
        <w:tc>
          <w:tcPr>
            <w:tcW w:w="545" w:type="pct"/>
            <w:shd w:val="clear" w:color="auto" w:fill="A8D08D" w:themeFill="accent6" w:themeFillTint="99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Si  </w:t>
            </w:r>
          </w:p>
        </w:tc>
        <w:tc>
          <w:tcPr>
            <w:tcW w:w="600" w:type="pct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Parcialmente  </w:t>
            </w:r>
          </w:p>
        </w:tc>
        <w:tc>
          <w:tcPr>
            <w:tcW w:w="639" w:type="pct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</w:tbl>
    <w:p w:rsidR="001833BA" w:rsidRDefault="001833BA" w:rsidP="001833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403"/>
        <w:gridCol w:w="1145"/>
        <w:gridCol w:w="709"/>
        <w:gridCol w:w="851"/>
        <w:gridCol w:w="1036"/>
      </w:tblGrid>
      <w:tr w:rsidR="001833BA" w:rsidRPr="0078581F" w:rsidTr="00F97363">
        <w:trPr>
          <w:trHeight w:val="300"/>
        </w:trPr>
        <w:tc>
          <w:tcPr>
            <w:tcW w:w="8828" w:type="dxa"/>
            <w:gridSpan w:val="6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R"/>
              </w:rPr>
              <w:t>Aspectos financieros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lastRenderedPageBreak/>
              <w:t xml:space="preserve"> Indicadores  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Unidades 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Bueno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Regular  </w:t>
            </w:r>
          </w:p>
        </w:tc>
        <w:tc>
          <w:tcPr>
            <w:tcW w:w="1036" w:type="dxa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Deficiente  </w:t>
            </w:r>
          </w:p>
        </w:tc>
      </w:tr>
      <w:tr w:rsidR="001833BA" w:rsidRPr="0078581F" w:rsidTr="00F97363">
        <w:trPr>
          <w:trHeight w:val="300"/>
        </w:trPr>
        <w:tc>
          <w:tcPr>
            <w:tcW w:w="8828" w:type="dxa"/>
            <w:gridSpan w:val="6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Ingresos  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Existencia de tarifa especifica (hogares)  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1833BA" w:rsidRPr="0078581F" w:rsidRDefault="00CE3EF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Sí</w:t>
            </w: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/No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Si    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1036" w:type="dxa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Capacidad de pago de los usuarios  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%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&lt;1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1036" w:type="dxa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&gt;1  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Hogares que pagan el servicio  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%  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&gt;75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75 -25  </w:t>
            </w:r>
          </w:p>
        </w:tc>
        <w:tc>
          <w:tcPr>
            <w:tcW w:w="1036" w:type="dxa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&lt;25  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vMerge w:val="restar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Tarifas promedio de cobro de los servicios  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USD$/tonelada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Limpieza de vías: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&gt;3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3-1</w:t>
            </w:r>
          </w:p>
        </w:tc>
        <w:tc>
          <w:tcPr>
            <w:tcW w:w="1036" w:type="dxa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&lt;1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vMerge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Recolección y transporte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&gt;15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15-5</w:t>
            </w:r>
          </w:p>
        </w:tc>
        <w:tc>
          <w:tcPr>
            <w:tcW w:w="1036" w:type="dxa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vMerge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Tratamiento y disposición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&gt;10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10-5</w:t>
            </w:r>
          </w:p>
        </w:tc>
        <w:tc>
          <w:tcPr>
            <w:tcW w:w="1036" w:type="dxa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Recuperación de costos del organizador del servicio  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%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&gt;90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90 -50  </w:t>
            </w:r>
          </w:p>
        </w:tc>
        <w:tc>
          <w:tcPr>
            <w:tcW w:w="1036" w:type="dxa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&lt;50  </w:t>
            </w:r>
          </w:p>
        </w:tc>
      </w:tr>
      <w:tr w:rsidR="001833BA" w:rsidRPr="0078581F" w:rsidTr="00F97363">
        <w:trPr>
          <w:trHeight w:val="300"/>
        </w:trPr>
        <w:tc>
          <w:tcPr>
            <w:tcW w:w="8828" w:type="dxa"/>
            <w:gridSpan w:val="6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Egresos 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1833BA" w:rsidRPr="0078581F" w:rsidRDefault="00890E9C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Presupuesto </w:t>
            </w:r>
            <w:r w:rsidRPr="00890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suf</w:t>
            </w:r>
            <w:r w:rsidR="001833BA" w:rsidRPr="00890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i</w:t>
            </w:r>
            <w:r w:rsidRPr="00890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ci</w:t>
            </w:r>
            <w:r w:rsidR="001833BA" w:rsidRPr="00890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ente</w:t>
            </w:r>
            <w:r w:rsidR="001833BA"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para la gestión de residuos  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Si/No  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Si  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- </w:t>
            </w:r>
          </w:p>
        </w:tc>
        <w:tc>
          <w:tcPr>
            <w:tcW w:w="1036" w:type="dxa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No  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vMerge w:val="restar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Costo de cada componente  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USD$/tonelada 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Recolección y transporte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&gt;15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15-5</w:t>
            </w:r>
          </w:p>
        </w:tc>
        <w:tc>
          <w:tcPr>
            <w:tcW w:w="1036" w:type="dxa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vMerge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Tratamiento y disposición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&gt;10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10-5</w:t>
            </w:r>
          </w:p>
        </w:tc>
        <w:tc>
          <w:tcPr>
            <w:tcW w:w="1036" w:type="dxa"/>
            <w:shd w:val="clear" w:color="auto" w:fill="FF00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&lt;5</w:t>
            </w:r>
          </w:p>
        </w:tc>
      </w:tr>
      <w:tr w:rsidR="001833BA" w:rsidRPr="0078581F" w:rsidTr="00F97363">
        <w:trPr>
          <w:trHeight w:val="300"/>
        </w:trPr>
        <w:tc>
          <w:tcPr>
            <w:tcW w:w="3684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Gasto per cápita en educación ambiental y concienciación  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USD$/habitante/año 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 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&gt;5  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5 - 0  </w:t>
            </w:r>
          </w:p>
        </w:tc>
        <w:tc>
          <w:tcPr>
            <w:tcW w:w="1036" w:type="dxa"/>
            <w:shd w:val="clear" w:color="auto" w:fill="FF0000"/>
            <w:noWrap/>
            <w:vAlign w:val="bottom"/>
            <w:hideMark/>
          </w:tcPr>
          <w:p w:rsidR="001833BA" w:rsidRPr="0078581F" w:rsidRDefault="001833BA" w:rsidP="00F97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785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0</w:t>
            </w:r>
          </w:p>
        </w:tc>
      </w:tr>
    </w:tbl>
    <w:p w:rsidR="001833BA" w:rsidRDefault="001833BA" w:rsidP="001833BA"/>
    <w:p w:rsidR="001833BA" w:rsidRDefault="001833BA" w:rsidP="001833BA"/>
    <w:p w:rsidR="005D4A61" w:rsidRDefault="005D4A61"/>
    <w:sectPr w:rsidR="005D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53" w:rsidRDefault="00370653" w:rsidP="001833BA">
      <w:pPr>
        <w:spacing w:after="0" w:line="240" w:lineRule="auto"/>
      </w:pPr>
      <w:r>
        <w:separator/>
      </w:r>
    </w:p>
  </w:endnote>
  <w:endnote w:type="continuationSeparator" w:id="0">
    <w:p w:rsidR="00370653" w:rsidRDefault="00370653" w:rsidP="001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53" w:rsidRDefault="00370653" w:rsidP="001833BA">
      <w:pPr>
        <w:spacing w:after="0" w:line="240" w:lineRule="auto"/>
      </w:pPr>
      <w:r>
        <w:separator/>
      </w:r>
    </w:p>
  </w:footnote>
  <w:footnote w:type="continuationSeparator" w:id="0">
    <w:p w:rsidR="00370653" w:rsidRDefault="00370653" w:rsidP="001833BA">
      <w:pPr>
        <w:spacing w:after="0" w:line="240" w:lineRule="auto"/>
      </w:pPr>
      <w:r>
        <w:continuationSeparator/>
      </w:r>
    </w:p>
  </w:footnote>
  <w:footnote w:id="1">
    <w:p w:rsidR="001833BA" w:rsidRDefault="001833BA" w:rsidP="001833BA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Turcott</w:t>
      </w:r>
      <w:proofErr w:type="spellEnd"/>
      <w:r>
        <w:t xml:space="preserve"> (2018)</w:t>
      </w:r>
    </w:p>
  </w:footnote>
  <w:footnote w:id="2">
    <w:p w:rsidR="001833BA" w:rsidRDefault="001833BA" w:rsidP="001833B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020A3">
        <w:t>Referido a material con una humedad máxima de 10%</w:t>
      </w:r>
    </w:p>
  </w:footnote>
  <w:footnote w:id="3">
    <w:p w:rsidR="001833BA" w:rsidRDefault="001833BA" w:rsidP="001833BA">
      <w:pPr>
        <w:pStyle w:val="Textonotapie"/>
      </w:pPr>
      <w:r>
        <w:rPr>
          <w:rStyle w:val="Refdenotaalpie"/>
        </w:rPr>
        <w:footnoteRef/>
      </w:r>
      <w:r>
        <w:t xml:space="preserve"> De acuerdo </w:t>
      </w:r>
      <w:r w:rsidR="00CE3EFC">
        <w:t>con la</w:t>
      </w:r>
      <w:r>
        <w:t xml:space="preserve"> definición de la Ley 22/2011 de residuos y suelos contaminados de España, el material </w:t>
      </w:r>
      <w:proofErr w:type="spellStart"/>
      <w:r>
        <w:t>bioestabilizado</w:t>
      </w:r>
      <w:proofErr w:type="spellEnd"/>
      <w:r>
        <w:t xml:space="preserve"> se obtiene a través del material orgánico de plantas de tratamiento mecánico biológico de residuos mezclados, y este % de impurezas considera: metales, vidrios y plásticos eventualmente presentes de diámetro superior a 2mm.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A"/>
    <w:rsid w:val="001833BA"/>
    <w:rsid w:val="00370653"/>
    <w:rsid w:val="005D4A61"/>
    <w:rsid w:val="00890E9C"/>
    <w:rsid w:val="008D6DEB"/>
    <w:rsid w:val="00C25216"/>
    <w:rsid w:val="00C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3FA1-C416-4890-ADA5-260083E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BA"/>
  </w:style>
  <w:style w:type="paragraph" w:styleId="Ttulo1">
    <w:name w:val="heading 1"/>
    <w:basedOn w:val="Normal"/>
    <w:next w:val="Normal"/>
    <w:link w:val="Ttulo1Car"/>
    <w:uiPriority w:val="9"/>
    <w:qFormat/>
    <w:rsid w:val="00183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3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3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3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3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4</cp:revision>
  <dcterms:created xsi:type="dcterms:W3CDTF">2020-03-02T04:50:00Z</dcterms:created>
  <dcterms:modified xsi:type="dcterms:W3CDTF">2020-03-31T19:33:00Z</dcterms:modified>
</cp:coreProperties>
</file>