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9A" w:rsidRPr="00183DA7" w:rsidRDefault="00C95B9A" w:rsidP="00C95B9A">
      <w:pPr>
        <w:pStyle w:val="Ttulo1"/>
        <w:rPr>
          <w:lang w:val="es-ES"/>
        </w:rPr>
      </w:pPr>
      <w:r w:rsidRPr="00183DA7">
        <w:rPr>
          <w:lang w:val="es-ES"/>
        </w:rPr>
        <w:t>P</w:t>
      </w:r>
      <w:r w:rsidR="009D16AB">
        <w:rPr>
          <w:lang w:val="es-ES" w:eastAsia="es-CR"/>
        </w:rPr>
        <w:t>arámetros para</w:t>
      </w:r>
      <w:r w:rsidRPr="00183DA7">
        <w:rPr>
          <w:lang w:val="es-ES" w:eastAsia="es-CR"/>
        </w:rPr>
        <w:t xml:space="preserve"> monitorear en la etapa de pos-clausura </w:t>
      </w:r>
    </w:p>
    <w:p w:rsidR="00C95B9A" w:rsidRPr="00183DA7" w:rsidRDefault="00C95B9A" w:rsidP="00C95B9A">
      <w:pPr>
        <w:rPr>
          <w:sz w:val="28"/>
          <w:szCs w:val="28"/>
          <w:lang w:val="es-ES"/>
        </w:rPr>
      </w:pPr>
      <w:r w:rsidRPr="00183DA7">
        <w:rPr>
          <w:sz w:val="28"/>
          <w:szCs w:val="28"/>
          <w:lang w:val="es-ES"/>
        </w:rPr>
        <w:t>De acuerdo con MMAM (2012), los sistemas de control y monitoreo de biogás, lixiviados y contaminación de aguas superficiales y subterráneas requieren de atención continua, lo mismo que el sistema de drenaje pluvial y el control de la erosión. Las recomendaciones de los parámetros a monitorear en la etapa de pos-clausura de un relleno sanitario o vertedero son:</w:t>
      </w: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  <w:r w:rsidRPr="00183DA7">
        <w:rPr>
          <w:b/>
          <w:sz w:val="28"/>
          <w:szCs w:val="28"/>
          <w:lang w:val="es-ES"/>
        </w:rPr>
        <w:t>Parámetros p</w:t>
      </w:r>
      <w:r w:rsidR="009D16AB">
        <w:rPr>
          <w:b/>
          <w:sz w:val="28"/>
          <w:szCs w:val="28"/>
          <w:lang w:val="es-ES"/>
        </w:rPr>
        <w:t>ara</w:t>
      </w:r>
      <w:r w:rsidRPr="00183DA7">
        <w:rPr>
          <w:b/>
          <w:sz w:val="28"/>
          <w:szCs w:val="28"/>
          <w:lang w:val="es-ES"/>
        </w:rPr>
        <w:t xml:space="preserve"> monitorear en la etapa de pos-clausura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3078"/>
        <w:gridCol w:w="2494"/>
      </w:tblGrid>
      <w:tr w:rsidR="00C95B9A" w:rsidRPr="00183DA7" w:rsidTr="00A44232">
        <w:trPr>
          <w:trHeight w:val="300"/>
        </w:trPr>
        <w:tc>
          <w:tcPr>
            <w:tcW w:w="1838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9D16AB">
            <w:pPr>
              <w:spacing w:after="0"/>
              <w:jc w:val="center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Factor </w:t>
            </w:r>
            <w:r w:rsidR="009D16AB">
              <w:rPr>
                <w:b/>
                <w:sz w:val="28"/>
                <w:szCs w:val="28"/>
                <w:lang w:val="es-ES"/>
              </w:rPr>
              <w:t xml:space="preserve">para </w:t>
            </w:r>
            <w:r w:rsidRPr="00183DA7">
              <w:rPr>
                <w:b/>
                <w:sz w:val="28"/>
                <w:szCs w:val="28"/>
                <w:lang w:val="es-ES"/>
              </w:rPr>
              <w:t>Monitorear</w:t>
            </w:r>
          </w:p>
        </w:tc>
        <w:tc>
          <w:tcPr>
            <w:tcW w:w="1418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jc w:val="center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>Frecuencia</w:t>
            </w:r>
          </w:p>
        </w:tc>
        <w:tc>
          <w:tcPr>
            <w:tcW w:w="3078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jc w:val="center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>Parámetros Por Monitorear</w:t>
            </w:r>
          </w:p>
        </w:tc>
        <w:tc>
          <w:tcPr>
            <w:tcW w:w="2494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jc w:val="center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>Límites Permisibles</w:t>
            </w:r>
          </w:p>
        </w:tc>
      </w:tr>
      <w:tr w:rsidR="00C95B9A" w:rsidRPr="00183DA7" w:rsidTr="00A44232">
        <w:trPr>
          <w:trHeight w:val="300"/>
        </w:trPr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Lixiviados 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Semestral  </w:t>
            </w:r>
          </w:p>
        </w:tc>
        <w:tc>
          <w:tcPr>
            <w:tcW w:w="30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pH DQO, DBO OD: Oxígeno Disuelto Metales Pesados Conductividad Eléctrica Amoniaco Nitratos Nitritos  </w:t>
            </w: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No se cuenta </w:t>
            </w:r>
            <w:r w:rsidR="009D16AB">
              <w:rPr>
                <w:sz w:val="28"/>
                <w:szCs w:val="28"/>
                <w:lang w:val="es-ES"/>
              </w:rPr>
              <w:t xml:space="preserve">con </w:t>
            </w:r>
            <w:r w:rsidRPr="00183DA7">
              <w:rPr>
                <w:sz w:val="28"/>
                <w:szCs w:val="28"/>
                <w:lang w:val="es-ES"/>
              </w:rPr>
              <w:t>límites permisibles de acuerdo con normas vigentes</w:t>
            </w:r>
          </w:p>
        </w:tc>
      </w:tr>
      <w:tr w:rsidR="00C95B9A" w:rsidRPr="00183DA7" w:rsidTr="00A44232">
        <w:trPr>
          <w:trHeight w:val="300"/>
        </w:trPr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Gases 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Bimensual  </w:t>
            </w:r>
          </w:p>
        </w:tc>
        <w:tc>
          <w:tcPr>
            <w:tcW w:w="30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Composición de Biogás: CH4, O2, N2  </w:t>
            </w: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>No se cuenta</w:t>
            </w:r>
            <w:r w:rsidR="009D16AB">
              <w:rPr>
                <w:sz w:val="28"/>
                <w:szCs w:val="28"/>
                <w:lang w:val="es-ES"/>
              </w:rPr>
              <w:t xml:space="preserve"> con </w:t>
            </w:r>
            <w:r w:rsidRPr="00183DA7">
              <w:rPr>
                <w:sz w:val="28"/>
                <w:szCs w:val="28"/>
                <w:lang w:val="es-ES"/>
              </w:rPr>
              <w:t xml:space="preserve"> límites permisibles de acuerdo con normas vigentes</w:t>
            </w:r>
          </w:p>
        </w:tc>
      </w:tr>
      <w:tr w:rsidR="00C95B9A" w:rsidRPr="00183DA7" w:rsidTr="00A44232">
        <w:trPr>
          <w:trHeight w:val="300"/>
        </w:trPr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Contaminación aguas superficiales 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Semestral  </w:t>
            </w:r>
          </w:p>
        </w:tc>
        <w:tc>
          <w:tcPr>
            <w:tcW w:w="30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pH DQO, DBO OD: Oxígeno Disuelto Metales Pesados Conductividad Eléctrica Amoniaco Nitratos Nitritos  </w:t>
            </w: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>Límites de acuerdo con normas vigentes</w:t>
            </w:r>
          </w:p>
        </w:tc>
      </w:tr>
      <w:tr w:rsidR="00C95B9A" w:rsidRPr="00183DA7" w:rsidTr="00A44232">
        <w:trPr>
          <w:trHeight w:val="300"/>
        </w:trPr>
        <w:tc>
          <w:tcPr>
            <w:tcW w:w="18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Contaminación aguas subterráneas  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Semestral  </w:t>
            </w:r>
          </w:p>
        </w:tc>
        <w:tc>
          <w:tcPr>
            <w:tcW w:w="30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pH DQO, DBO OD: Oxígeno Disuelto Metales Pesados Conductividad Eléctrica Amoniaco Nitratos Nitritos  </w:t>
            </w:r>
          </w:p>
        </w:tc>
        <w:tc>
          <w:tcPr>
            <w:tcW w:w="2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>Límites de acuerdo con normas vigentes</w:t>
            </w:r>
          </w:p>
        </w:tc>
      </w:tr>
    </w:tbl>
    <w:p w:rsidR="00C95B9A" w:rsidRPr="00183DA7" w:rsidRDefault="00C95B9A" w:rsidP="00C95B9A">
      <w:pPr>
        <w:rPr>
          <w:lang w:val="es-ES"/>
        </w:rPr>
      </w:pPr>
      <w:r w:rsidRPr="00183DA7">
        <w:rPr>
          <w:lang w:val="es-ES"/>
        </w:rPr>
        <w:t xml:space="preserve"> Fuente: MMAM (2012)</w:t>
      </w:r>
    </w:p>
    <w:p w:rsidR="00C95B9A" w:rsidRPr="00183DA7" w:rsidRDefault="00C95B9A" w:rsidP="00C95B9A">
      <w:pPr>
        <w:rPr>
          <w:sz w:val="28"/>
          <w:szCs w:val="28"/>
          <w:lang w:val="es-ES"/>
        </w:rPr>
      </w:pPr>
    </w:p>
    <w:p w:rsidR="00C95B9A" w:rsidRPr="00183DA7" w:rsidRDefault="00C95B9A" w:rsidP="00C95B9A">
      <w:pPr>
        <w:rPr>
          <w:sz w:val="28"/>
          <w:szCs w:val="28"/>
          <w:lang w:val="es-ES"/>
        </w:rPr>
      </w:pP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  <w:r w:rsidRPr="00183DA7">
        <w:rPr>
          <w:b/>
          <w:sz w:val="28"/>
          <w:szCs w:val="28"/>
          <w:lang w:val="es-ES"/>
        </w:rPr>
        <w:t>Parámetros de muestreo de los lixiviados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919"/>
        <w:gridCol w:w="2951"/>
        <w:gridCol w:w="2063"/>
      </w:tblGrid>
      <w:tr w:rsidR="00C95B9A" w:rsidRPr="00183DA7" w:rsidTr="00A44232">
        <w:trPr>
          <w:trHeight w:val="300"/>
        </w:trPr>
        <w:tc>
          <w:tcPr>
            <w:tcW w:w="1200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Físicos  </w:t>
            </w:r>
          </w:p>
        </w:tc>
        <w:tc>
          <w:tcPr>
            <w:tcW w:w="1200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Constituyentes Orgánicos  </w:t>
            </w:r>
          </w:p>
        </w:tc>
        <w:tc>
          <w:tcPr>
            <w:tcW w:w="1200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Constituyentes Inorgánicos  </w:t>
            </w:r>
          </w:p>
        </w:tc>
        <w:tc>
          <w:tcPr>
            <w:tcW w:w="1200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Biológicos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Aspecto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Químicos Orgánicos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Sólidos en suspensión (SS) Sólidos totales disueltos (STD)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9D16AB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Demanda bioquímica de ox</w:t>
            </w:r>
            <w:r w:rsidR="009D16AB">
              <w:rPr>
                <w:sz w:val="28"/>
                <w:szCs w:val="28"/>
                <w:lang w:val="es-ES"/>
              </w:rPr>
              <w:t>í</w:t>
            </w:r>
            <w:r w:rsidRPr="00183DA7">
              <w:rPr>
                <w:sz w:val="28"/>
                <w:szCs w:val="28"/>
                <w:lang w:val="es-ES"/>
              </w:rPr>
              <w:t xml:space="preserve">geno (DBO)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pH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Fenoles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Sólidos volátiles en suspensión (SVS)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9D16AB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Bacterias </w:t>
            </w:r>
            <w:proofErr w:type="spellStart"/>
            <w:r w:rsidRPr="00183DA7">
              <w:rPr>
                <w:sz w:val="28"/>
                <w:szCs w:val="28"/>
                <w:lang w:val="es-ES"/>
              </w:rPr>
              <w:t>coliformes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r w:rsidRPr="00183DA7">
              <w:rPr>
                <w:sz w:val="28"/>
                <w:szCs w:val="28"/>
                <w:lang w:val="es-ES"/>
              </w:rPr>
              <w:t>(</w:t>
            </w:r>
            <w:r w:rsidR="009D16AB">
              <w:rPr>
                <w:sz w:val="28"/>
                <w:szCs w:val="28"/>
                <w:lang w:val="es-ES"/>
              </w:rPr>
              <w:t>t</w:t>
            </w:r>
            <w:r w:rsidRPr="00183DA7">
              <w:rPr>
                <w:sz w:val="28"/>
                <w:szCs w:val="28"/>
                <w:lang w:val="es-ES"/>
              </w:rPr>
              <w:t xml:space="preserve">otal fecal)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Potencial de reducción de oxidación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9D16AB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Demanda química de ox</w:t>
            </w:r>
            <w:r w:rsidR="009D16AB">
              <w:rPr>
                <w:sz w:val="28"/>
                <w:szCs w:val="28"/>
                <w:lang w:val="es-ES"/>
              </w:rPr>
              <w:t>í</w:t>
            </w:r>
            <w:bookmarkStart w:id="0" w:name="_GoBack"/>
            <w:bookmarkEnd w:id="0"/>
            <w:r w:rsidRPr="00183DA7">
              <w:rPr>
                <w:sz w:val="28"/>
                <w:szCs w:val="28"/>
                <w:lang w:val="es-ES"/>
              </w:rPr>
              <w:t xml:space="preserve">geno (DQO)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Sulfatos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Placas estándar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Conductividad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Carbono orgánico (COT)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Fosfatos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Color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Ácidos volátiles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Alcalinidad y acidez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Turbiedad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Taninos, ligninas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N-Nitrito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  </w:t>
            </w:r>
          </w:p>
        </w:tc>
      </w:tr>
      <w:tr w:rsidR="00C95B9A" w:rsidRPr="00183DA7" w:rsidTr="00A44232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Olor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Solubles en éter (aceites y grasas)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N-Nitrato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  </w:t>
            </w:r>
          </w:p>
        </w:tc>
      </w:tr>
    </w:tbl>
    <w:p w:rsidR="00C95B9A" w:rsidRPr="00183DA7" w:rsidRDefault="00C95B9A" w:rsidP="00C95B9A">
      <w:pPr>
        <w:rPr>
          <w:lang w:val="es-ES"/>
        </w:rPr>
      </w:pPr>
      <w:r w:rsidRPr="00183DA7">
        <w:rPr>
          <w:lang w:val="es-ES"/>
        </w:rPr>
        <w:t xml:space="preserve"> Fuente: MMAM (2012)</w:t>
      </w: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  <w:r w:rsidRPr="00183DA7">
        <w:rPr>
          <w:b/>
          <w:sz w:val="28"/>
          <w:szCs w:val="28"/>
          <w:lang w:val="es-ES"/>
        </w:rPr>
        <w:t xml:space="preserve">Monitoreo de Biogás 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1842"/>
        <w:gridCol w:w="1462"/>
      </w:tblGrid>
      <w:tr w:rsidR="00C95B9A" w:rsidRPr="00183DA7" w:rsidTr="00A44232">
        <w:trPr>
          <w:trHeight w:val="737"/>
        </w:trPr>
        <w:tc>
          <w:tcPr>
            <w:tcW w:w="3397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Parámetro  </w:t>
            </w:r>
          </w:p>
        </w:tc>
        <w:tc>
          <w:tcPr>
            <w:tcW w:w="2127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Equipo  </w:t>
            </w:r>
          </w:p>
        </w:tc>
        <w:tc>
          <w:tcPr>
            <w:tcW w:w="1842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Técnica  </w:t>
            </w:r>
          </w:p>
        </w:tc>
        <w:tc>
          <w:tcPr>
            <w:tcW w:w="1462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Frecuencia </w:t>
            </w:r>
          </w:p>
        </w:tc>
      </w:tr>
      <w:tr w:rsidR="00C95B9A" w:rsidRPr="00183DA7" w:rsidTr="00A44232">
        <w:trPr>
          <w:trHeight w:val="300"/>
        </w:trPr>
        <w:tc>
          <w:tcPr>
            <w:tcW w:w="33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Composición del biogás: CH4, CO2, O2, N2  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Cromatografía de gases  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Cromatografía de gases  </w:t>
            </w:r>
          </w:p>
        </w:tc>
        <w:tc>
          <w:tcPr>
            <w:tcW w:w="14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Bimestral  </w:t>
            </w:r>
          </w:p>
        </w:tc>
      </w:tr>
      <w:tr w:rsidR="00C95B9A" w:rsidRPr="00183DA7" w:rsidTr="00A44232">
        <w:trPr>
          <w:trHeight w:val="300"/>
        </w:trPr>
        <w:tc>
          <w:tcPr>
            <w:tcW w:w="33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Explosividad y toxicidad  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Exposímetro digital  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Lectura directa en campo  </w:t>
            </w:r>
          </w:p>
        </w:tc>
        <w:tc>
          <w:tcPr>
            <w:tcW w:w="14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Mensual  </w:t>
            </w:r>
          </w:p>
        </w:tc>
      </w:tr>
      <w:tr w:rsidR="00C95B9A" w:rsidRPr="00183DA7" w:rsidTr="00A44232">
        <w:trPr>
          <w:trHeight w:val="300"/>
        </w:trPr>
        <w:tc>
          <w:tcPr>
            <w:tcW w:w="33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Flujo  </w:t>
            </w:r>
          </w:p>
        </w:tc>
        <w:tc>
          <w:tcPr>
            <w:tcW w:w="21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Flujo metro  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Lectura directa en campo  </w:t>
            </w:r>
          </w:p>
        </w:tc>
        <w:tc>
          <w:tcPr>
            <w:tcW w:w="14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Mensual  </w:t>
            </w:r>
          </w:p>
        </w:tc>
      </w:tr>
    </w:tbl>
    <w:p w:rsidR="00C95B9A" w:rsidRPr="00183DA7" w:rsidRDefault="00C95B9A" w:rsidP="00C95B9A">
      <w:pPr>
        <w:rPr>
          <w:lang w:val="es-ES"/>
        </w:rPr>
      </w:pPr>
      <w:r w:rsidRPr="00183DA7">
        <w:rPr>
          <w:lang w:val="es-ES"/>
        </w:rPr>
        <w:t xml:space="preserve"> Fuente: MMAM (2012)</w:t>
      </w:r>
    </w:p>
    <w:p w:rsidR="00C95B9A" w:rsidRPr="00183DA7" w:rsidRDefault="00C95B9A" w:rsidP="00C95B9A">
      <w:pPr>
        <w:rPr>
          <w:lang w:val="es-ES"/>
        </w:rPr>
      </w:pP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  <w:r w:rsidRPr="00183DA7">
        <w:rPr>
          <w:b/>
          <w:sz w:val="28"/>
          <w:szCs w:val="28"/>
          <w:lang w:val="es-ES"/>
        </w:rPr>
        <w:t xml:space="preserve">Monitoreo del Aire 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2739"/>
        <w:gridCol w:w="2552"/>
        <w:gridCol w:w="1603"/>
      </w:tblGrid>
      <w:tr w:rsidR="00C95B9A" w:rsidRPr="00183DA7" w:rsidTr="00A44232">
        <w:trPr>
          <w:trHeight w:val="300"/>
        </w:trPr>
        <w:tc>
          <w:tcPr>
            <w:tcW w:w="1934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Parámetro  </w:t>
            </w:r>
          </w:p>
        </w:tc>
        <w:tc>
          <w:tcPr>
            <w:tcW w:w="2739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Equipo  </w:t>
            </w:r>
          </w:p>
        </w:tc>
        <w:tc>
          <w:tcPr>
            <w:tcW w:w="2552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Técnica  </w:t>
            </w:r>
          </w:p>
        </w:tc>
        <w:tc>
          <w:tcPr>
            <w:tcW w:w="1603" w:type="dxa"/>
            <w:shd w:val="clear" w:color="auto" w:fill="8EAADB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Frecuencia </w:t>
            </w:r>
          </w:p>
        </w:tc>
      </w:tr>
      <w:tr w:rsidR="00C95B9A" w:rsidRPr="00183DA7" w:rsidTr="00A44232">
        <w:trPr>
          <w:trHeight w:val="300"/>
        </w:trPr>
        <w:tc>
          <w:tcPr>
            <w:tcW w:w="19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Partículas totales en suspensión  </w:t>
            </w: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Equipo para alto volumen 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Muestreo de alto volumen  </w:t>
            </w:r>
          </w:p>
        </w:tc>
        <w:tc>
          <w:tcPr>
            <w:tcW w:w="1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Mensuales  </w:t>
            </w:r>
          </w:p>
        </w:tc>
      </w:tr>
      <w:tr w:rsidR="00C95B9A" w:rsidRPr="00183DA7" w:rsidTr="00A44232">
        <w:trPr>
          <w:trHeight w:val="300"/>
        </w:trPr>
        <w:tc>
          <w:tcPr>
            <w:tcW w:w="19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Partículas biológicas viables  </w:t>
            </w: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Equipo de laboratorio para medición de colonias de bacterias en el aire 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Incubación, conteo de colonias  </w:t>
            </w:r>
          </w:p>
        </w:tc>
        <w:tc>
          <w:tcPr>
            <w:tcW w:w="1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Mensuales  </w:t>
            </w:r>
          </w:p>
        </w:tc>
      </w:tr>
      <w:tr w:rsidR="00C95B9A" w:rsidRPr="00183DA7" w:rsidTr="00A44232">
        <w:trPr>
          <w:trHeight w:val="300"/>
        </w:trPr>
        <w:tc>
          <w:tcPr>
            <w:tcW w:w="19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Ruido  </w:t>
            </w:r>
          </w:p>
        </w:tc>
        <w:tc>
          <w:tcPr>
            <w:tcW w:w="27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Sonómetro 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Según el manual  </w:t>
            </w:r>
          </w:p>
        </w:tc>
        <w:tc>
          <w:tcPr>
            <w:tcW w:w="1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5B9A" w:rsidRPr="00183DA7" w:rsidRDefault="00C95B9A" w:rsidP="00A44232">
            <w:pPr>
              <w:spacing w:after="0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Mensuales  </w:t>
            </w:r>
          </w:p>
        </w:tc>
      </w:tr>
    </w:tbl>
    <w:p w:rsidR="00C95B9A" w:rsidRPr="00183DA7" w:rsidRDefault="00C95B9A" w:rsidP="00C95B9A">
      <w:pPr>
        <w:rPr>
          <w:lang w:val="es-ES"/>
        </w:rPr>
      </w:pPr>
      <w:r w:rsidRPr="00183DA7">
        <w:rPr>
          <w:lang w:val="es-ES"/>
        </w:rPr>
        <w:t>Fuente: MMAM (2012)</w:t>
      </w:r>
    </w:p>
    <w:p w:rsidR="00C95B9A" w:rsidRPr="00183DA7" w:rsidRDefault="00C95B9A" w:rsidP="00C95B9A">
      <w:pPr>
        <w:jc w:val="center"/>
        <w:rPr>
          <w:sz w:val="28"/>
          <w:szCs w:val="28"/>
          <w:lang w:val="es-ES"/>
        </w:rPr>
      </w:pPr>
    </w:p>
    <w:p w:rsidR="00C95B9A" w:rsidRPr="00183DA7" w:rsidRDefault="00C95B9A" w:rsidP="00C95B9A">
      <w:pPr>
        <w:jc w:val="center"/>
        <w:rPr>
          <w:b/>
          <w:sz w:val="28"/>
          <w:szCs w:val="28"/>
          <w:lang w:val="es-ES"/>
        </w:rPr>
      </w:pPr>
      <w:r w:rsidRPr="00183DA7">
        <w:rPr>
          <w:b/>
          <w:sz w:val="28"/>
          <w:szCs w:val="28"/>
          <w:lang w:val="es-ES"/>
        </w:rPr>
        <w:t>Monitoreo del Suelo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5"/>
        <w:gridCol w:w="2923"/>
      </w:tblGrid>
      <w:tr w:rsidR="00C95B9A" w:rsidRPr="00183DA7" w:rsidTr="00A44232">
        <w:trPr>
          <w:trHeight w:val="300"/>
        </w:trPr>
        <w:tc>
          <w:tcPr>
            <w:tcW w:w="5915" w:type="dxa"/>
            <w:shd w:val="clear" w:color="auto" w:fill="8EAADB" w:themeFill="accent5" w:themeFillTint="99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Parámetro  </w:t>
            </w:r>
          </w:p>
        </w:tc>
        <w:tc>
          <w:tcPr>
            <w:tcW w:w="2923" w:type="dxa"/>
            <w:shd w:val="clear" w:color="auto" w:fill="8EAADB" w:themeFill="accent5" w:themeFillTint="99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 w:rsidRPr="00183DA7">
              <w:rPr>
                <w:b/>
                <w:sz w:val="28"/>
                <w:szCs w:val="28"/>
                <w:lang w:val="es-ES"/>
              </w:rPr>
              <w:t xml:space="preserve"> Frecuencia  </w:t>
            </w:r>
          </w:p>
        </w:tc>
      </w:tr>
      <w:tr w:rsidR="00C95B9A" w:rsidRPr="00183DA7" w:rsidTr="00A44232">
        <w:trPr>
          <w:trHeight w:val="300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Metales pesados (Sb, As, Ba, Be, Cd, Cr, Co, Cu, Pb, Ni, Se, Ag, Tl, V, Zn)  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En caso de sospechar su presencia  </w:t>
            </w:r>
          </w:p>
        </w:tc>
      </w:tr>
      <w:tr w:rsidR="00C95B9A" w:rsidRPr="00183DA7" w:rsidTr="00A44232">
        <w:trPr>
          <w:trHeight w:val="300"/>
        </w:trPr>
        <w:tc>
          <w:tcPr>
            <w:tcW w:w="5915" w:type="dxa"/>
            <w:shd w:val="clear" w:color="auto" w:fill="auto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Compuestos orgánicos volátiles o </w:t>
            </w:r>
            <w:proofErr w:type="spellStart"/>
            <w:r w:rsidRPr="00183DA7">
              <w:rPr>
                <w:sz w:val="28"/>
                <w:szCs w:val="28"/>
                <w:lang w:val="es-ES"/>
              </w:rPr>
              <w:t>semivolátiles</w:t>
            </w:r>
            <w:proofErr w:type="spellEnd"/>
            <w:r w:rsidRPr="00183DA7">
              <w:rPr>
                <w:sz w:val="28"/>
                <w:szCs w:val="28"/>
                <w:lang w:val="es-ES"/>
              </w:rPr>
              <w:t xml:space="preserve">.  </w:t>
            </w:r>
          </w:p>
        </w:tc>
        <w:tc>
          <w:tcPr>
            <w:tcW w:w="2923" w:type="dxa"/>
            <w:shd w:val="clear" w:color="auto" w:fill="auto"/>
            <w:noWrap/>
            <w:vAlign w:val="bottom"/>
            <w:hideMark/>
          </w:tcPr>
          <w:p w:rsidR="00C95B9A" w:rsidRPr="00183DA7" w:rsidRDefault="00C95B9A" w:rsidP="00A44232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183DA7">
              <w:rPr>
                <w:sz w:val="28"/>
                <w:szCs w:val="28"/>
                <w:lang w:val="es-ES"/>
              </w:rPr>
              <w:t xml:space="preserve"> En caso de sospechar su presencia.  </w:t>
            </w:r>
          </w:p>
        </w:tc>
      </w:tr>
    </w:tbl>
    <w:p w:rsidR="00C95B9A" w:rsidRPr="00183DA7" w:rsidRDefault="00C95B9A" w:rsidP="00C95B9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ES"/>
        </w:rPr>
      </w:pPr>
      <w:r w:rsidRPr="00183DA7">
        <w:rPr>
          <w:lang w:val="es-ES"/>
        </w:rPr>
        <w:t>Fuente: MMAM (2012)</w:t>
      </w:r>
      <w:bookmarkStart w:id="1" w:name="_Acciones_de_carácter_1"/>
      <w:bookmarkStart w:id="2" w:name="_Uso_futuro_del_1"/>
      <w:bookmarkEnd w:id="1"/>
      <w:bookmarkEnd w:id="2"/>
    </w:p>
    <w:p w:rsidR="00C95B9A" w:rsidRPr="00183DA7" w:rsidRDefault="00C95B9A" w:rsidP="00C95B9A">
      <w:pPr>
        <w:rPr>
          <w:lang w:val="es-ES"/>
        </w:rPr>
      </w:pPr>
      <w:bookmarkStart w:id="3" w:name="_Obras_y_controles_1"/>
      <w:bookmarkEnd w:id="3"/>
    </w:p>
    <w:p w:rsidR="00F70337" w:rsidRPr="00C95B9A" w:rsidRDefault="00F70337" w:rsidP="00C95B9A"/>
    <w:sectPr w:rsidR="00F70337" w:rsidRPr="00C95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9D16AB"/>
    <w:rsid w:val="00C95B9A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6CC9-2B60-453C-9765-224C50D6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9A"/>
  </w:style>
  <w:style w:type="paragraph" w:styleId="Ttulo1">
    <w:name w:val="heading 1"/>
    <w:basedOn w:val="Normal"/>
    <w:next w:val="Normal"/>
    <w:link w:val="Ttulo1Car"/>
    <w:uiPriority w:val="9"/>
    <w:qFormat/>
    <w:rsid w:val="00C95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5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2</cp:revision>
  <dcterms:created xsi:type="dcterms:W3CDTF">2020-03-11T02:19:00Z</dcterms:created>
  <dcterms:modified xsi:type="dcterms:W3CDTF">2020-04-01T04:01:00Z</dcterms:modified>
</cp:coreProperties>
</file>